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664952" w:rsidRPr="00BB55D6" w:rsidTr="00AD1794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664952" w:rsidRPr="00BB55D6" w:rsidRDefault="00664952" w:rsidP="00AD17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B7AA936" wp14:editId="3BBA5A81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72ED130" wp14:editId="5A1C25D5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664952" w:rsidRPr="00BB55D6" w:rsidRDefault="00664952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664952" w:rsidRPr="00BB55D6" w:rsidRDefault="00664952" w:rsidP="00AD179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664952" w:rsidRPr="00BB55D6" w:rsidRDefault="00664952" w:rsidP="00AD179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664952" w:rsidRDefault="00664952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835A7C">
              <w:rPr>
                <w:rFonts w:ascii="Times New Roman" w:hAnsi="Times New Roman" w:cs="Times New Roman"/>
                <w:b/>
                <w:sz w:val="28"/>
                <w:szCs w:val="24"/>
              </w:rPr>
              <w:t>Кадровое делопроизводство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664952" w:rsidRDefault="00664952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664952" w:rsidRPr="00BB55D6" w:rsidRDefault="00664952" w:rsidP="00AD1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120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664952" w:rsidRPr="00BB55D6" w:rsidRDefault="00664952" w:rsidP="00664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664952" w:rsidRPr="00BB55D6" w:rsidRDefault="00664952" w:rsidP="00664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664952" w:rsidRPr="00BB55D6" w:rsidTr="00AD1794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664952" w:rsidRPr="00BB55D6" w:rsidRDefault="00664952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для </w:t>
            </w:r>
            <w:r w:rsidRPr="00D83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менеджеров или будущих менеджеров высшего, среднего и низшего звеньев, ответственных за ведение кадровых документов, секретарей, помощников менеджеров, иных специалистов по управлению персоналом и специалистов по организационному и документационному обеспечению управления организацией.</w:t>
            </w:r>
          </w:p>
          <w:p w:rsidR="00664952" w:rsidRPr="00BB55D6" w:rsidRDefault="00664952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64952" w:rsidRPr="00BB55D6" w:rsidRDefault="00664952" w:rsidP="00AD1794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7D1" w:rsidRPr="008D6B7B" w:rsidRDefault="006277D1" w:rsidP="00CD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Организация кадровой службы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1. Формирование системы кадровой службы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Структура и функции кадровой службы. Штатное расписание. Коллективный договор.</w:t>
      </w:r>
      <w:r w:rsidR="00CD487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 Кадровая политика предприятия. Положение об</w:t>
      </w:r>
      <w:r w:rsidR="00CD487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отделах и службах.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2: Должностные инструкции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Разработка должностных инструкций. Профессиональные стандарты.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3: Функционирование системы кадровой службы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Кадровые расходы. Показатели работы кадровой службы. Хранение документов.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8D6B7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8D6B7B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CD4872" w:rsidRDefault="00CD487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Pr="008D6B7B" w:rsidRDefault="006277D1" w:rsidP="00CD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Кадровые документы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1: Акт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2: Справка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3: Докладная записка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4: Объяснительная записка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5: Письмо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8D6B7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8D6B7B"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CD4872" w:rsidRDefault="00CD487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Pr="008D6B7B" w:rsidRDefault="006277D1" w:rsidP="00CD4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Основы приема и увольнения работников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1. Прием на работу работников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Дискриминация при приеме на работу. Заемный труд. Специфика приема на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государственную и муниципальную службу. Документы, составляемые при приеме на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работу. Личная карточка работника. Лицевой счет работника. Трудовой договор. Трудовая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книжка. Прием на работу иностранных граждан. Прием на работу по совместительству.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Постановка работника на воинский учет. Выдача документов по приему на работу.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2: Увольнение с работы работников</w:t>
      </w:r>
    </w:p>
    <w:p w:rsidR="004E5752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B7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8D6B7B">
        <w:rPr>
          <w:rFonts w:ascii="Times New Roman" w:hAnsi="Times New Roman" w:cs="Times New Roman"/>
          <w:sz w:val="24"/>
          <w:szCs w:val="24"/>
        </w:rPr>
        <w:t xml:space="preserve"> прекращения трудового договора. Документы, составляемые при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увольнении. Компенсации и иные расчеты с работников при увольнении. Заполнение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 xml:space="preserve">трудовой книжки </w:t>
      </w:r>
      <w:r w:rsidRPr="008D6B7B">
        <w:rPr>
          <w:rFonts w:ascii="Times New Roman" w:hAnsi="Times New Roman" w:cs="Times New Roman"/>
          <w:sz w:val="24"/>
          <w:szCs w:val="24"/>
        </w:rPr>
        <w:lastRenderedPageBreak/>
        <w:t>при увольнении. Оформление личной карточки при увольнении.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 xml:space="preserve">Документы. </w:t>
      </w:r>
      <w:proofErr w:type="gramStart"/>
      <w:r w:rsidRPr="008D6B7B">
        <w:rPr>
          <w:rFonts w:ascii="Times New Roman" w:hAnsi="Times New Roman" w:cs="Times New Roman"/>
          <w:sz w:val="24"/>
          <w:szCs w:val="24"/>
        </w:rPr>
        <w:t>Выдаваемые</w:t>
      </w:r>
      <w:proofErr w:type="gramEnd"/>
      <w:r w:rsidRPr="008D6B7B">
        <w:rPr>
          <w:rFonts w:ascii="Times New Roman" w:hAnsi="Times New Roman" w:cs="Times New Roman"/>
          <w:sz w:val="24"/>
          <w:szCs w:val="24"/>
        </w:rPr>
        <w:t xml:space="preserve"> работнику при увольнении.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8D6B7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8D6B7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E5752" w:rsidRDefault="004E575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Pr="008D6B7B" w:rsidRDefault="006277D1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Трудовой договор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1. Подготовка документов для заключения трудового договора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Документы, необходимые для принятия решения о заключении трудового договора.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Обстоятельства, препятствующие заключению трудового договора. Подписание трудового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договора.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2. Подготовка документов для изменения трудового договора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Дополнение трудового договора недостающими сведениями ил</w:t>
      </w:r>
      <w:proofErr w:type="gramStart"/>
      <w:r w:rsidRPr="008D6B7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D6B7B">
        <w:rPr>
          <w:rFonts w:ascii="Times New Roman" w:hAnsi="Times New Roman" w:cs="Times New Roman"/>
          <w:sz w:val="24"/>
          <w:szCs w:val="24"/>
        </w:rPr>
        <w:t>и) условиями из числа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обязательных. Изъятие из трудового договора излишествующих сведений, а также условий,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ухудшающих положения работника. Замена имеющихся в трудовом договоре сведений,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условий или реквизитов новыми сведениями, условиями и реквизитами. Особые случаи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заключения соглашений к трудовому договору.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3. Подготовка документов для прекращения трудового договора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 xml:space="preserve">Прекращение </w:t>
      </w:r>
      <w:proofErr w:type="gramStart"/>
      <w:r w:rsidRPr="008D6B7B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8D6B7B">
        <w:rPr>
          <w:rFonts w:ascii="Times New Roman" w:hAnsi="Times New Roman" w:cs="Times New Roman"/>
          <w:sz w:val="24"/>
          <w:szCs w:val="24"/>
        </w:rPr>
        <w:t xml:space="preserve"> договору по соглашению между работников и работодателем.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Прекращение трудового договора по разным причинам (истечение срока, по инициативе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работника и т.п.).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8D6B7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8D6B7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E5752" w:rsidRDefault="004E575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Pr="008D6B7B" w:rsidRDefault="006277D1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Оформление и ведение трудовых книжек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1. Основы ведение трудовых книжек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Изучение Трудового кодекса Российской федерации, Правил ведения и хранения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трудовых книжек, Инструкции по заполнению трудовых книжек, Приказ Минфина России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«О трудовых книжках». Общий порядок ведения трудовых книжек. Ответственность за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несоблюдение порядка ведения трудовых книжек.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2: Оформление трудовой книжки при принятии на работу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впервые. Оформление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трудовой книжки работнику, принятому на работу после окончания учебного заведения.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по совместительству.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Оформление трудовой книжки работнику, принятому на работу к индивидуальному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предпринимателю. Оформление трудовой книжки работнику, принятому на работу в связи с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переводом с другой организации.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3: Ведение трудовой книжки после приема на работу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Оформление трудовой книжки при переводе работника на другую должность.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Оформление трудовой книжки при присвоении разряда или второй профессии. Оформление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сведений о награждениях в трудовой книжке. Оформление вкладыша в трудовую книжку.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Внесение исправительных данных в трудовую книжку. Внесение различных изменений в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трудовую книжку (новое образование, новая фамилия, изменение наименования организации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и т.д.).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4: Оформление трудовой книжки при увольнении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t>Оформление записи об увольнении по собственному желанию в трудовой книжке.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Оформление записи об увольнении в порядке перевода. Оформление записи об увольнении в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 xml:space="preserve">связи с истечением срока трудового договора. Оформление записи </w:t>
      </w:r>
      <w:proofErr w:type="gramStart"/>
      <w:r w:rsidRPr="008D6B7B">
        <w:rPr>
          <w:rFonts w:ascii="Times New Roman" w:hAnsi="Times New Roman" w:cs="Times New Roman"/>
          <w:sz w:val="24"/>
          <w:szCs w:val="24"/>
        </w:rPr>
        <w:t>об увольнении по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собственному желанию в связи с необходимостью ухода за детьми</w:t>
      </w:r>
      <w:proofErr w:type="gramEnd"/>
      <w:r w:rsidRPr="008D6B7B">
        <w:rPr>
          <w:rFonts w:ascii="Times New Roman" w:hAnsi="Times New Roman" w:cs="Times New Roman"/>
          <w:sz w:val="24"/>
          <w:szCs w:val="24"/>
        </w:rPr>
        <w:t xml:space="preserve"> до 14 лет. Оформление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записи о прекращении трудового договора в связи со смертью работника. Оформление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sz w:val="24"/>
          <w:szCs w:val="24"/>
        </w:rPr>
        <w:t>записи об увольнении работника по совместительству.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5: Учет движения трудовых книжек</w:t>
      </w:r>
    </w:p>
    <w:p w:rsidR="004E5752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sz w:val="24"/>
          <w:szCs w:val="24"/>
        </w:rPr>
        <w:lastRenderedPageBreak/>
        <w:t>Книга учета движения трудовых книжек и вкладышей в них. Ведение приходно-расходной книги по учету бланков трудовой книжки и вкладыша в нее</w:t>
      </w:r>
      <w:r w:rsidR="004E5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6: Расчет страхового стажа по трудовой книжке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7: Бухгалтерский и налоговый учет расходов на приобретение трудовых</w:t>
      </w:r>
      <w:r w:rsidR="004E5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b/>
          <w:bCs/>
          <w:sz w:val="24"/>
          <w:szCs w:val="24"/>
        </w:rPr>
        <w:t>книжек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8D6B7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8D6B7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E5752" w:rsidRDefault="004E575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Pr="008D6B7B" w:rsidRDefault="006277D1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Учет прочих операций с персоналом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1. Учет рабочего времени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2. Оформление отпусков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3. Оформление командировок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4. Оформление поощрений.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5. Оформление перевода на другую работу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6. Оформление больничных листов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7. Наложение дисциплинарного взыскания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8D6B7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контроль: </w:t>
      </w:r>
      <w:r w:rsidRPr="008D6B7B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4E5752" w:rsidRDefault="004E575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Pr="008D6B7B" w:rsidRDefault="006277D1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Нормативно-правовая, информационно-справочная документация</w:t>
      </w:r>
      <w:r w:rsidR="004E57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(самостоятельное изучение, актуальная информация предоставляется)</w:t>
      </w:r>
    </w:p>
    <w:p w:rsidR="004E5752" w:rsidRDefault="004E575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Pr="008D6B7B" w:rsidRDefault="006277D1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Типовые ошибки кадрового делопроизводства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1. Ошибки при заключении, изменении и прекращении (расторжении)</w:t>
      </w:r>
      <w:r w:rsidR="004E57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6B7B">
        <w:rPr>
          <w:rFonts w:ascii="Times New Roman" w:hAnsi="Times New Roman" w:cs="Times New Roman"/>
          <w:b/>
          <w:bCs/>
          <w:sz w:val="24"/>
          <w:szCs w:val="24"/>
        </w:rPr>
        <w:t>трудового договора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2. Ошибки при издании приказов (распоряжений) по кадрам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sz w:val="24"/>
          <w:szCs w:val="24"/>
        </w:rPr>
        <w:t>Тема 3. Ошибки при ведении трудовой книжки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Самостоятельная работа: </w:t>
      </w:r>
      <w:r w:rsidRPr="008D6B7B">
        <w:rPr>
          <w:rFonts w:ascii="Times New Roman" w:hAnsi="Times New Roman" w:cs="Times New Roman"/>
          <w:sz w:val="24"/>
          <w:szCs w:val="24"/>
        </w:rPr>
        <w:t>Повторение пройденного материала. Работа с литературой.</w:t>
      </w:r>
    </w:p>
    <w:p w:rsidR="006277D1" w:rsidRPr="008D6B7B" w:rsidRDefault="006277D1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i/>
          <w:iCs/>
          <w:sz w:val="24"/>
          <w:szCs w:val="24"/>
        </w:rPr>
        <w:t>Текущий контроль: тестирование</w:t>
      </w:r>
    </w:p>
    <w:p w:rsidR="004E5752" w:rsidRDefault="004E5752" w:rsidP="00762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7D1" w:rsidRDefault="006277D1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6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Модуль 9. Итоговый контроль: </w:t>
      </w:r>
      <w:r w:rsidRPr="008D6B7B"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</w:p>
    <w:p w:rsidR="00303C43" w:rsidRDefault="00303C43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03C43" w:rsidRPr="00980D85" w:rsidRDefault="00303C43" w:rsidP="00303C4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обучения–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</w:t>
      </w:r>
      <w:bookmarkStart w:id="2" w:name="_GoBack"/>
      <w:bookmarkEnd w:id="2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руб.*</w:t>
      </w:r>
    </w:p>
    <w:p w:rsidR="00303C43" w:rsidRPr="00980D85" w:rsidRDefault="00303C43" w:rsidP="00303C4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303C43" w:rsidRPr="00980D85" w:rsidRDefault="00303C43" w:rsidP="00303C43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303C43" w:rsidTr="00AD1794">
        <w:tc>
          <w:tcPr>
            <w:tcW w:w="4565" w:type="dxa"/>
            <w:vAlign w:val="center"/>
            <w:hideMark/>
          </w:tcPr>
          <w:p w:rsidR="00303C43" w:rsidRPr="00DE0CA8" w:rsidRDefault="00303C43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303C43" w:rsidRPr="00D66A80" w:rsidRDefault="00303C43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303C43" w:rsidRPr="00D66A80" w:rsidRDefault="00303C43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303C43" w:rsidRPr="00D66A80" w:rsidRDefault="00303C43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303C43" w:rsidRPr="00D66A80" w:rsidRDefault="00303C43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303C43" w:rsidRPr="00D66A80" w:rsidRDefault="00303C43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303C43" w:rsidRPr="00D66A80" w:rsidRDefault="00303C43" w:rsidP="00AD17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303C43" w:rsidRPr="00D66A80" w:rsidRDefault="00303C43" w:rsidP="00AD1794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3C43" w:rsidRPr="008D6B7B" w:rsidRDefault="00303C43" w:rsidP="004E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03C43" w:rsidRPr="008D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3B"/>
    <w:rsid w:val="000E1145"/>
    <w:rsid w:val="00303C43"/>
    <w:rsid w:val="004D5299"/>
    <w:rsid w:val="004E5752"/>
    <w:rsid w:val="006277D1"/>
    <w:rsid w:val="00664952"/>
    <w:rsid w:val="007628A4"/>
    <w:rsid w:val="0080343B"/>
    <w:rsid w:val="008D6B7B"/>
    <w:rsid w:val="00C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3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9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03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Разумкова Наталья Юрьевна</dc:creator>
  <cp:keywords/>
  <dc:description/>
  <cp:lastModifiedBy>Разумкова Наталья Юрьевна</cp:lastModifiedBy>
  <cp:revision>11</cp:revision>
  <dcterms:created xsi:type="dcterms:W3CDTF">2017-03-09T13:17:00Z</dcterms:created>
  <dcterms:modified xsi:type="dcterms:W3CDTF">2017-07-12T13:57:00Z</dcterms:modified>
</cp:coreProperties>
</file>